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4D" w:rsidRDefault="00C8314D" w:rsidP="00650848">
      <w:pPr>
        <w:spacing w:line="240" w:lineRule="auto"/>
        <w:ind w:left="-1080" w:right="-720"/>
        <w:contextualSpacing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7132248" cy="827461"/>
            <wp:effectExtent l="19050" t="0" r="0" b="0"/>
            <wp:docPr id="1" name="Picture 0" descr="times-trib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-tribu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571" cy="82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C7" w:rsidRDefault="006843C7" w:rsidP="006843C7">
      <w:pPr>
        <w:spacing w:line="240" w:lineRule="auto"/>
        <w:ind w:left="-1080" w:right="-720"/>
        <w:contextualSpacing/>
        <w:rPr>
          <w:sz w:val="52"/>
        </w:rPr>
      </w:pPr>
      <w:r w:rsidRPr="006843C7">
        <w:rPr>
          <w:sz w:val="52"/>
        </w:rPr>
        <w:t>Trail adopts $22M budget</w:t>
      </w:r>
      <w:r>
        <w:rPr>
          <w:sz w:val="52"/>
        </w:rPr>
        <w:t xml:space="preserve"> </w:t>
      </w:r>
      <w:r w:rsidRPr="006843C7">
        <w:rPr>
          <w:sz w:val="52"/>
        </w:rPr>
        <w:t>Taxes go up in Lackawanna County, go down in Wyoming County.</w:t>
      </w:r>
    </w:p>
    <w:p w:rsidR="00650848" w:rsidRDefault="00650848" w:rsidP="00650848">
      <w:pPr>
        <w:spacing w:line="240" w:lineRule="auto"/>
        <w:ind w:left="-1080" w:right="-720"/>
        <w:contextualSpacing/>
        <w:rPr>
          <w:sz w:val="26"/>
          <w:szCs w:val="26"/>
        </w:rPr>
      </w:pPr>
      <w:r w:rsidRPr="00C8314D">
        <w:rPr>
          <w:sz w:val="26"/>
          <w:szCs w:val="26"/>
        </w:rPr>
        <w:t xml:space="preserve">By </w:t>
      </w:r>
      <w:r w:rsidR="006843C7" w:rsidRPr="006843C7">
        <w:rPr>
          <w:sz w:val="26"/>
          <w:szCs w:val="26"/>
        </w:rPr>
        <w:t>BROOKE WILLIAMS</w:t>
      </w:r>
      <w:r w:rsidRPr="00C8314D">
        <w:rPr>
          <w:sz w:val="26"/>
          <w:szCs w:val="26"/>
        </w:rPr>
        <w:t xml:space="preserve">, </w:t>
      </w:r>
      <w:proofErr w:type="gramStart"/>
      <w:r w:rsidRPr="00C8314D">
        <w:rPr>
          <w:sz w:val="26"/>
          <w:szCs w:val="26"/>
        </w:rPr>
        <w:t>The</w:t>
      </w:r>
      <w:proofErr w:type="gramEnd"/>
      <w:r w:rsidRPr="00C8314D">
        <w:rPr>
          <w:sz w:val="26"/>
          <w:szCs w:val="26"/>
        </w:rPr>
        <w:t xml:space="preserve"> Times-Tribune, Scranton, Pa. (</w:t>
      </w:r>
      <w:proofErr w:type="spellStart"/>
      <w:r w:rsidRPr="00C8314D">
        <w:rPr>
          <w:sz w:val="26"/>
          <w:szCs w:val="26"/>
        </w:rPr>
        <w:t>TNS</w:t>
      </w:r>
      <w:proofErr w:type="spellEnd"/>
      <w:r w:rsidRPr="00C8314D">
        <w:rPr>
          <w:sz w:val="26"/>
          <w:szCs w:val="26"/>
        </w:rPr>
        <w:t>)</w:t>
      </w:r>
      <w:r w:rsidR="006843C7">
        <w:rPr>
          <w:sz w:val="26"/>
          <w:szCs w:val="26"/>
        </w:rPr>
        <w:t xml:space="preserve"> </w:t>
      </w:r>
      <w:r w:rsidRPr="00C8314D">
        <w:rPr>
          <w:sz w:val="26"/>
          <w:szCs w:val="26"/>
        </w:rPr>
        <w:t xml:space="preserve">Posted </w:t>
      </w:r>
      <w:r w:rsidR="006843C7">
        <w:rPr>
          <w:sz w:val="26"/>
          <w:szCs w:val="26"/>
        </w:rPr>
        <w:t>July 1, 2020</w:t>
      </w:r>
    </w:p>
    <w:p w:rsidR="006843C7" w:rsidRPr="00C8314D" w:rsidRDefault="006843C7" w:rsidP="00650848">
      <w:pPr>
        <w:spacing w:line="240" w:lineRule="auto"/>
        <w:ind w:left="-1080" w:right="-720"/>
        <w:contextualSpacing/>
        <w:rPr>
          <w:sz w:val="26"/>
          <w:szCs w:val="26"/>
        </w:rPr>
      </w:pP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The spending plan reduces taxes by 2.43% in Wyoming County, but increases them by 2.51% in Lackawanna County due to a tax reallocation.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“Since the beginning of the pandemic, this board made a commitment to not raise the overall tax revenue of the district and to commit to a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zero tax increase budget,” said Keith Glynn, business manager. “With these millage rates, the board does accomplish that. Unfortunately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being a double-county district, we do have to have a tax reallocation.”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This brings Lackawanna County to 170.88 mills and Wyoming County to 91.68 mills in real estate taxes. A mill is a $1 tax on each $1,000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of assessed property value.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“This budget was really at the beginning of this process balanced,” Glynn said. “Once the pandemic hit, we did suffer a lot of lost revenue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in our expectations, so we’re going to be short approaching on $1 million in this budget.”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This isn’t $1 million of operating costs, he clarified, noting that about $300,000 makes up capital improvements, and there’s a $250,000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contingency because of the uncertainty with the pandemic.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“I didn’t want to leave us shorthanded in unexpected costs,” he said. “Then there’s about $450,000 of overage in expenses, and the big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part of that is lost revenue.”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Otherwise, he said the final budget is similar to the proposed budget presented in April.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The board also approved its 2020 homestead and farmstead exclusion resolution.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“Lackawanna County residents will see their bill drop by $1,402 and Wyoming County will see a drop of $2,612, but the overall impact per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property that qualifies is $239.51,” Glynn said.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In other business, the board approved Superintendent Matthew Rakauskas as the district’s pandemic coordinator.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“This dovetails with the health and safety plan that every school in Pennsylvania needs to put together,” Rakauskas said.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He invited parents to participate in a virtual town hall July 8 at 7 p.m. about plans for reopening schools. A link to the meeting will be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posted on the district’s website.</w:t>
      </w:r>
    </w:p>
    <w:p w:rsidR="006843C7" w:rsidRPr="006843C7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The board also approved a three-phase reopening plan for athletics, which is subject to change.</w:t>
      </w:r>
    </w:p>
    <w:p w:rsidR="00FB3393" w:rsidRPr="00C8314D" w:rsidRDefault="006843C7" w:rsidP="006843C7">
      <w:pPr>
        <w:spacing w:after="120" w:line="240" w:lineRule="auto"/>
        <w:ind w:left="-1080" w:right="-720"/>
        <w:rPr>
          <w:sz w:val="26"/>
          <w:szCs w:val="26"/>
        </w:rPr>
      </w:pPr>
      <w:r w:rsidRPr="006843C7">
        <w:rPr>
          <w:sz w:val="26"/>
          <w:szCs w:val="26"/>
        </w:rPr>
        <w:t>Athletic Director Ed Gaidula said Phase 1, through July 11, gives coaches an opportunity to meet with players outdoors in small groups.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Phase 2, July 13-24, allows for limited capacity in the gym and weight room, and Phase 3, beginning July 27, opens athletics at a larger capacity</w:t>
      </w:r>
      <w:r>
        <w:rPr>
          <w:sz w:val="26"/>
          <w:szCs w:val="26"/>
        </w:rPr>
        <w:t xml:space="preserve"> </w:t>
      </w:r>
      <w:r w:rsidRPr="006843C7">
        <w:rPr>
          <w:sz w:val="26"/>
          <w:szCs w:val="26"/>
        </w:rPr>
        <w:t>with restrictions still in place.</w:t>
      </w:r>
      <w:r w:rsidRPr="006843C7">
        <w:rPr>
          <w:sz w:val="26"/>
          <w:szCs w:val="26"/>
        </w:rPr>
        <w:t xml:space="preserve"> </w:t>
      </w:r>
    </w:p>
    <w:sectPr w:rsidR="00FB3393" w:rsidRPr="00C8314D" w:rsidSect="00C831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wNjawsDAztzQyMDJV0lEKTi0uzszPAykwrAUAYFpPkCwAAAA="/>
  </w:docVars>
  <w:rsids>
    <w:rsidRoot w:val="00650848"/>
    <w:rsid w:val="001E78B1"/>
    <w:rsid w:val="00650848"/>
    <w:rsid w:val="006843C7"/>
    <w:rsid w:val="00AF692F"/>
    <w:rsid w:val="00C8314D"/>
    <w:rsid w:val="00FB3393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2196</Characters>
  <Application>Microsoft Office Word</Application>
  <DocSecurity>0</DocSecurity>
  <Lines>18</Lines>
  <Paragraphs>5</Paragraphs>
  <ScaleCrop>false</ScaleCrop>
  <Company>Keystone College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2020-07-01T13:46:00Z</dcterms:created>
  <dcterms:modified xsi:type="dcterms:W3CDTF">2020-07-01T13:53:00Z</dcterms:modified>
</cp:coreProperties>
</file>